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20" w:line="360" w:lineRule="auto"/>
        <w:ind w:left="0" w:right="0" w:firstLine="0"/>
        <w:jc w:val="both"/>
        <w:rPr>
          <w:rFonts w:hint="default" w:ascii="Times New Roman" w:hAnsi="Times New Roman" w:eastAsia="Helvetica Neue" w:cs="Times New Roman"/>
          <w:i/>
          <w:sz w:val="24"/>
          <w:szCs w:val="24"/>
          <w:lang w:val="ro-RO"/>
        </w:rPr>
      </w:pPr>
      <w:r>
        <w:rPr>
          <w:rFonts w:hint="default" w:ascii="Times New Roman" w:hAnsi="Times New Roman" w:eastAsia="Helvetica Neue" w:cs="Times New Roman"/>
          <w:i/>
          <w:sz w:val="24"/>
          <w:szCs w:val="24"/>
          <w:lang w:val="ro-RO"/>
        </w:rPr>
        <w:t xml:space="preserve">Anexa </w:t>
      </w: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2382" w:firstLineChars="850"/>
        <w:jc w:val="both"/>
        <w:rPr>
          <w:rFonts w:hint="default" w:ascii="Times New Roman" w:hAnsi="Times New Roman" w:eastAsia="Helvetica Neue" w:cs="Times New Roman"/>
          <w:b/>
          <w:bCs/>
          <w:i w:val="0"/>
          <w:strike w:val="0"/>
          <w:color w:val="000000"/>
          <w:sz w:val="28"/>
          <w:szCs w:val="28"/>
          <w:u w:val="none"/>
          <w:shd w:val="clear" w:fill="auto"/>
          <w:vertAlign w:val="baseline"/>
          <w:rtl w:val="0"/>
          <w:lang w:val="ro-RO"/>
        </w:rPr>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2382" w:firstLineChars="850"/>
        <w:jc w:val="both"/>
        <w:rPr>
          <w:rFonts w:hint="default" w:ascii="Times New Roman" w:hAnsi="Times New Roman" w:eastAsia="Helvetica Neue" w:cs="Times New Roman"/>
          <w:b/>
          <w:bCs/>
          <w:i w:val="0"/>
          <w:strike w:val="0"/>
          <w:color w:val="000000"/>
          <w:sz w:val="28"/>
          <w:szCs w:val="28"/>
          <w:u w:val="none"/>
          <w:shd w:val="clear" w:fill="auto"/>
          <w:vertAlign w:val="baseline"/>
          <w:lang w:val="ro-RO"/>
        </w:rPr>
      </w:pPr>
      <w:r>
        <w:rPr>
          <w:rFonts w:hint="default" w:ascii="Times New Roman" w:hAnsi="Times New Roman" w:eastAsia="Helvetica Neue" w:cs="Times New Roman"/>
          <w:b/>
          <w:bCs/>
          <w:i w:val="0"/>
          <w:strike w:val="0"/>
          <w:color w:val="000000"/>
          <w:sz w:val="28"/>
          <w:szCs w:val="28"/>
          <w:u w:val="none"/>
          <w:shd w:val="clear" w:fill="auto"/>
          <w:vertAlign w:val="baseline"/>
          <w:rtl w:val="0"/>
          <w:lang w:val="ro-RO"/>
        </w:rPr>
        <w:t>Declaraţie de parteneriat</w:t>
      </w:r>
    </w:p>
    <w:p>
      <w:pPr>
        <w:spacing w:line="360" w:lineRule="auto"/>
        <w:jc w:val="both"/>
        <w:rPr>
          <w:rFonts w:hint="default" w:ascii="Times New Roman" w:hAnsi="Times New Roman" w:eastAsia="Helvetica Neue" w:cs="Times New Roman"/>
          <w:sz w:val="24"/>
          <w:szCs w:val="24"/>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420" w:firstLineChars="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Un parteneriat este o relaţie esenţială între două sau mai multe organizaţii, care presupune împărţirea responsabilităţilor în derularea proiectului finanţat de către Autoritatea Finanţatoare. Pentru a asigura o derulare uşoară a proiectului, Autoritatea Contractantă solicită tuturor partenerilor să recunoască acest lucru, consimţind la principiile de bună practică a parteneriatului, stipulate mai jos:</w:t>
      </w:r>
    </w:p>
    <w:p>
      <w:pPr>
        <w:spacing w:line="360" w:lineRule="auto"/>
        <w:jc w:val="both"/>
        <w:rPr>
          <w:rFonts w:hint="default" w:ascii="Times New Roman" w:hAnsi="Times New Roman" w:eastAsia="Helvetica Neue" w:cs="Times New Roman"/>
          <w:sz w:val="24"/>
          <w:szCs w:val="24"/>
          <w:vertAlign w:val="baseline"/>
          <w:lang w:val="ro-RO"/>
        </w:rPr>
      </w:pPr>
    </w:p>
    <w:p>
      <w:pPr>
        <w:numPr>
          <w:ilvl w:val="0"/>
          <w:numId w:val="1"/>
        </w:numPr>
        <w:spacing w:line="360" w:lineRule="auto"/>
        <w:ind w:left="360" w:hanging="360"/>
        <w:jc w:val="both"/>
        <w:rPr>
          <w:rFonts w:hint="default" w:ascii="Times New Roman" w:hAnsi="Times New Roman" w:eastAsia="Helvetica Neue" w:cs="Times New Roman"/>
          <w:sz w:val="24"/>
          <w:szCs w:val="24"/>
          <w:vertAlign w:val="baseline"/>
          <w:rtl w:val="0"/>
          <w:lang w:val="ro-RO"/>
        </w:rPr>
      </w:pPr>
      <w:r>
        <w:rPr>
          <w:rFonts w:hint="default" w:ascii="Times New Roman" w:hAnsi="Times New Roman" w:eastAsia="Helvetica Neue" w:cs="Times New Roman"/>
          <w:sz w:val="24"/>
          <w:szCs w:val="24"/>
          <w:vertAlign w:val="baseline"/>
          <w:rtl w:val="0"/>
          <w:lang w:val="ro-RO"/>
        </w:rPr>
        <w:t>Toţi partenerii au citit formularul de cerere şi au înţeles care va fi rolul lor în cadrul proiectului înainte ca cererea de finanţare nerambursabilă să fie înaintată Autorităţii Finanţatoare.</w:t>
      </w:r>
    </w:p>
    <w:p>
      <w:pPr>
        <w:numPr>
          <w:numId w:val="0"/>
        </w:numPr>
        <w:spacing w:line="360" w:lineRule="auto"/>
        <w:ind w:leftChars="0"/>
        <w:jc w:val="both"/>
        <w:rPr>
          <w:rFonts w:hint="default" w:ascii="Times New Roman" w:hAnsi="Times New Roman" w:eastAsia="Helvetica Neue" w:cs="Times New Roman"/>
          <w:sz w:val="24"/>
          <w:szCs w:val="24"/>
          <w:vertAlign w:val="baseline"/>
          <w:rtl w:val="0"/>
          <w:lang w:val="ro-RO"/>
        </w:rPr>
      </w:pPr>
    </w:p>
    <w:p>
      <w:pPr>
        <w:numPr>
          <w:ilvl w:val="0"/>
          <w:numId w:val="1"/>
        </w:numPr>
        <w:spacing w:line="360" w:lineRule="auto"/>
        <w:ind w:left="360" w:leftChars="0" w:hanging="360" w:firstLineChars="0"/>
        <w:jc w:val="both"/>
        <w:rPr>
          <w:rFonts w:hint="default" w:ascii="Times New Roman" w:hAnsi="Times New Roman" w:eastAsia="Helvetica Neue" w:cs="Times New Roman"/>
          <w:sz w:val="24"/>
          <w:szCs w:val="24"/>
          <w:vertAlign w:val="baseline"/>
          <w:rtl w:val="0"/>
          <w:lang w:val="ro-RO"/>
        </w:rPr>
      </w:pPr>
      <w:r>
        <w:rPr>
          <w:rFonts w:hint="default" w:ascii="Times New Roman" w:hAnsi="Times New Roman" w:eastAsia="Helvetica Neue" w:cs="Times New Roman"/>
          <w:sz w:val="24"/>
          <w:szCs w:val="24"/>
          <w:vertAlign w:val="baseline"/>
          <w:rtl w:val="0"/>
          <w:lang w:val="ro-RO"/>
        </w:rPr>
        <w:t>Toţi partenerii au citit contractul standard de finanţare nerambursabilă şi au înţeles care vor fi obligaţiile care le revin în cadrul contractului dacă finanţarea nerambursabilă este acordată. Ei autorizează solicitantul principal să semneze contractul cu Autoritatea Finanţatoare şi să îi reprezinte în relaţiile cu Autoritatea Finanţatoare privind punerea în aplicare a proiectului.</w:t>
      </w:r>
    </w:p>
    <w:p>
      <w:pPr>
        <w:numPr>
          <w:numId w:val="0"/>
        </w:numPr>
        <w:spacing w:line="360" w:lineRule="auto"/>
        <w:ind w:leftChars="0"/>
        <w:jc w:val="both"/>
        <w:rPr>
          <w:rFonts w:hint="default" w:ascii="Times New Roman" w:hAnsi="Times New Roman" w:eastAsia="Helvetica Neue" w:cs="Times New Roman"/>
          <w:sz w:val="24"/>
          <w:szCs w:val="24"/>
          <w:vertAlign w:val="baseline"/>
          <w:rtl w:val="0"/>
          <w:lang w:val="ro-RO"/>
        </w:rPr>
      </w:pPr>
    </w:p>
    <w:p>
      <w:pPr>
        <w:numPr>
          <w:ilvl w:val="0"/>
          <w:numId w:val="1"/>
        </w:numPr>
        <w:spacing w:line="360" w:lineRule="auto"/>
        <w:ind w:left="360" w:leftChars="0" w:hanging="360" w:firstLineChars="0"/>
        <w:jc w:val="both"/>
        <w:rPr>
          <w:rFonts w:hint="default" w:ascii="Times New Roman" w:hAnsi="Times New Roman" w:eastAsia="Helvetica Neue" w:cs="Times New Roman"/>
          <w:sz w:val="24"/>
          <w:szCs w:val="24"/>
          <w:vertAlign w:val="baseline"/>
          <w:rtl w:val="0"/>
          <w:lang w:val="ro-RO"/>
        </w:rPr>
      </w:pPr>
      <w:r>
        <w:rPr>
          <w:rFonts w:hint="default" w:ascii="Times New Roman" w:hAnsi="Times New Roman" w:eastAsia="Helvetica Neue" w:cs="Times New Roman"/>
          <w:sz w:val="24"/>
          <w:szCs w:val="24"/>
          <w:vertAlign w:val="baseline"/>
          <w:rtl w:val="0"/>
          <w:lang w:val="ro-RO"/>
        </w:rPr>
        <w:t>Solicitantul trebuie să se consulte permanent cu partenerii săi şi să-i informeze în totalitate asupra evoluţiei proiectului.</w:t>
      </w:r>
    </w:p>
    <w:p>
      <w:pPr>
        <w:numPr>
          <w:numId w:val="0"/>
        </w:numPr>
        <w:spacing w:line="360" w:lineRule="auto"/>
        <w:ind w:leftChars="0"/>
        <w:jc w:val="both"/>
        <w:rPr>
          <w:rFonts w:hint="default" w:ascii="Times New Roman" w:hAnsi="Times New Roman" w:eastAsia="Helvetica Neue" w:cs="Times New Roman"/>
          <w:sz w:val="24"/>
          <w:szCs w:val="24"/>
          <w:vertAlign w:val="baseline"/>
          <w:rtl w:val="0"/>
          <w:lang w:val="ro-RO"/>
        </w:rPr>
      </w:pPr>
    </w:p>
    <w:p>
      <w:pPr>
        <w:numPr>
          <w:ilvl w:val="0"/>
          <w:numId w:val="1"/>
        </w:numPr>
        <w:spacing w:line="360" w:lineRule="auto"/>
        <w:ind w:left="360" w:leftChars="0" w:hanging="360" w:firstLineChars="0"/>
        <w:jc w:val="both"/>
        <w:rPr>
          <w:rFonts w:hint="default" w:ascii="Times New Roman" w:hAnsi="Times New Roman" w:eastAsia="Helvetica Neue" w:cs="Times New Roman"/>
          <w:sz w:val="24"/>
          <w:szCs w:val="24"/>
          <w:vertAlign w:val="baseline"/>
          <w:rtl w:val="0"/>
          <w:lang w:val="ro-RO"/>
        </w:rPr>
      </w:pPr>
      <w:r>
        <w:rPr>
          <w:rFonts w:hint="default" w:ascii="Times New Roman" w:hAnsi="Times New Roman" w:eastAsia="Helvetica Neue" w:cs="Times New Roman"/>
          <w:sz w:val="24"/>
          <w:szCs w:val="24"/>
          <w:vertAlign w:val="baseline"/>
          <w:rtl w:val="0"/>
          <w:lang w:val="ro-RO"/>
        </w:rPr>
        <w:t>Toţi partenerii trebuie să primească copiile rapoartelor – descriptive şi financiare – către Autoritatea Finanţatoare.</w:t>
      </w:r>
    </w:p>
    <w:p>
      <w:pPr>
        <w:numPr>
          <w:numId w:val="0"/>
        </w:numPr>
        <w:spacing w:line="360" w:lineRule="auto"/>
        <w:ind w:leftChars="0"/>
        <w:jc w:val="both"/>
        <w:rPr>
          <w:rFonts w:hint="default" w:ascii="Times New Roman" w:hAnsi="Times New Roman" w:eastAsia="Helvetica Neue" w:cs="Times New Roman"/>
          <w:sz w:val="24"/>
          <w:szCs w:val="24"/>
          <w:vertAlign w:val="baseline"/>
          <w:rtl w:val="0"/>
          <w:lang w:val="ro-RO"/>
        </w:rPr>
      </w:pPr>
    </w:p>
    <w:p>
      <w:pPr>
        <w:spacing w:line="360" w:lineRule="auto"/>
        <w:ind w:left="360" w:hanging="36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5. Modificările importante propuse în cadrul proiectului (ex. activităţi, etc.) trebuie să fie aprobate de parteneri, anterior înaintării acestora către Autoritatea Finanţatoare. În cazul în care aceste modificări nu au putut fi aprobate de către toţi partenerii, solicitantul trebuie să informeze Autoritatea Finanţatoare cu privire la acest lucru, atunci când înaintează spre aprobare propunerea de modificare.</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firstLine="420" w:firstLineChars="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Am citit şi consimţit asupra conţinutului proiectului înaintat Autorităţii Finanţatoare. Ne angajăm să acţionăm în conformitate cu principiile practicii unui bun parteneriat.</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rtl w:val="0"/>
          <w:lang w:val="ro-RO"/>
        </w:rPr>
        <w:t>Locul şi data ………………………</w:t>
      </w:r>
    </w:p>
    <w:p>
      <w:pPr>
        <w:spacing w:line="360" w:lineRule="auto"/>
        <w:jc w:val="both"/>
        <w:rPr>
          <w:rFonts w:hint="default" w:ascii="Times New Roman" w:hAnsi="Times New Roman" w:eastAsia="Helvetica Neue" w:cs="Times New Roman"/>
          <w:sz w:val="24"/>
          <w:szCs w:val="24"/>
          <w:vertAlign w:val="baseline"/>
          <w:lang w:val="ro-RO"/>
        </w:rPr>
      </w:pPr>
      <w:bookmarkStart w:id="0" w:name="_32hioqz" w:colFirst="0" w:colLast="0"/>
      <w:bookmarkEnd w:id="0"/>
    </w:p>
    <w:p>
      <w:pPr>
        <w:spacing w:line="360" w:lineRule="auto"/>
        <w:ind w:left="1260" w:leftChars="0" w:firstLine="420" w:firstLineChars="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lang w:val="ro-RO"/>
        </w:rPr>
        <w:t xml:space="preserve">Organizația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r>
      <w:r>
        <w:rPr>
          <w:rFonts w:hint="default" w:ascii="Times New Roman" w:hAnsi="Times New Roman" w:eastAsia="Helvetica Neue" w:cs="Times New Roman"/>
          <w:sz w:val="24"/>
          <w:szCs w:val="24"/>
          <w:vertAlign w:val="baseline"/>
          <w:lang w:val="ro-RO"/>
        </w:rPr>
        <w:t>Organizația</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firstLine="420" w:firstLineChars="0"/>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lang w:val="ro-RO"/>
        </w:rPr>
        <w:t xml:space="preserve">Nume Prenume reprezentant legal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xml:space="preserve">   </w:t>
      </w:r>
      <w:r>
        <w:rPr>
          <w:rFonts w:hint="default" w:ascii="Times New Roman" w:hAnsi="Times New Roman" w:eastAsia="Helvetica Neue" w:cs="Times New Roman"/>
          <w:sz w:val="24"/>
          <w:szCs w:val="24"/>
          <w:vertAlign w:val="baseline"/>
          <w:lang w:val="ro-RO"/>
        </w:rPr>
        <w:t>Nume Prenume reprezentant legal</w:t>
      </w:r>
    </w:p>
    <w:p>
      <w:pPr>
        <w:spacing w:line="360" w:lineRule="auto"/>
        <w:jc w:val="both"/>
        <w:rPr>
          <w:rFonts w:hint="default" w:ascii="Times New Roman" w:hAnsi="Times New Roman" w:eastAsia="Helvetica Neue" w:cs="Times New Roman"/>
          <w:sz w:val="24"/>
          <w:szCs w:val="24"/>
          <w:vertAlign w:val="baseline"/>
          <w:lang w:val="ro-RO"/>
        </w:rPr>
      </w:pPr>
    </w:p>
    <w:p>
      <w:pPr>
        <w:spacing w:line="360" w:lineRule="auto"/>
        <w:ind w:left="420" w:leftChars="0" w:firstLine="621" w:firstLineChars="259"/>
        <w:jc w:val="both"/>
        <w:rPr>
          <w:rFonts w:hint="default" w:ascii="Times New Roman" w:hAnsi="Times New Roman" w:eastAsia="Helvetica Neue" w:cs="Times New Roman"/>
          <w:sz w:val="24"/>
          <w:szCs w:val="24"/>
          <w:vertAlign w:val="baseline"/>
          <w:lang w:val="ro-RO"/>
        </w:rPr>
      </w:pPr>
      <w:r>
        <w:rPr>
          <w:rFonts w:hint="default" w:ascii="Times New Roman" w:hAnsi="Times New Roman" w:eastAsia="Helvetica Neue" w:cs="Times New Roman"/>
          <w:sz w:val="24"/>
          <w:szCs w:val="24"/>
          <w:vertAlign w:val="baseline"/>
          <w:lang w:val="ro-RO"/>
        </w:rPr>
        <w:t xml:space="preserve">Semnătură și ștampilă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w:r>
      <w:r>
        <w:rPr>
          <w:rFonts w:hint="default" w:ascii="Times New Roman" w:hAnsi="Times New Roman" w:eastAsia="Helvetica Neue" w:cs="Times New Roman"/>
          <w:sz w:val="24"/>
          <w:szCs w:val="24"/>
          <w:vertAlign w:val="baseline"/>
          <w:lang w:val="ro-RO"/>
        </w:rPr>
        <w:tab/>
        <w:t xml:space="preserve"> </w:t>
      </w:r>
      <w:r>
        <w:rPr>
          <w:rFonts w:hint="default" w:ascii="Times New Roman" w:hAnsi="Times New Roman" w:eastAsia="Helvetica Neue" w:cs="Times New Roman"/>
          <w:sz w:val="24"/>
          <w:szCs w:val="24"/>
          <w:vertAlign w:val="baseline"/>
          <w:lang w:val="ro-RO"/>
        </w:rPr>
        <w:t>Semnătură și ștampilă</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hint="default" w:ascii="Times New Roman" w:hAnsi="Times New Roman" w:eastAsia="Helvetica Neue" w:cs="Times New Roman"/>
          <w:i w:val="0"/>
          <w:smallCaps w:val="0"/>
          <w:strike w:val="0"/>
          <w:color w:val="000000"/>
          <w:sz w:val="24"/>
          <w:szCs w:val="24"/>
          <w:u w:val="none"/>
          <w:shd w:val="clear" w:fill="auto"/>
          <w:vertAlign w:val="baseline"/>
          <w:lang w:val="ro-RO"/>
        </w:rPr>
      </w:pPr>
      <w:bookmarkStart w:id="1" w:name="_GoBack"/>
      <w:bookmarkEnd w:id="1"/>
      <w:r>
        <w:rPr>
          <w:rFonts w:hint="default" w:ascii="Times New Roman" w:hAnsi="Times New Roman" w:eastAsia="Helvetica Neue" w:cs="Times New Roman"/>
          <w:i w:val="0"/>
          <w:smallCaps w:val="0"/>
          <w:strike w:val="0"/>
          <w:color w:val="000000"/>
          <w:sz w:val="24"/>
          <w:szCs w:val="24"/>
          <w:u w:val="none"/>
          <w:shd w:val="clear" w:fill="auto"/>
          <w:vertAlign w:val="baseline"/>
          <w:rtl w:val="0"/>
          <w:lang w:val="ro-RO"/>
        </w:rPr>
        <w:t>Fiecare partener va primi un exemplar al declaraţiei de parteneriat.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Helvetica Neue">
    <w:altName w:val="IDAutomationHC39M"/>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IDAutomationHC39M">
    <w:panose1 w:val="02000509000000020004"/>
    <w:charset w:val="00"/>
    <w:family w:val="auto"/>
    <w:pitch w:val="default"/>
    <w:sig w:usb0="80000003" w:usb1="0000004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92C46"/>
    <w:multiLevelType w:val="singleLevel"/>
    <w:tmpl w:val="AD592C4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9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_Style 26"/>
    <w:qFormat/>
    <w:uiPriority w:val="0"/>
    <w:tblPr>
      <w:tblCellMar>
        <w:top w:w="0" w:type="dxa"/>
        <w:left w:w="108" w:type="dxa"/>
        <w:bottom w:w="0" w:type="dxa"/>
        <w:right w:w="108" w:type="dxa"/>
      </w:tblCellMar>
    </w:tblPr>
  </w:style>
  <w:style w:type="table" w:customStyle="1" w:styleId="5">
    <w:name w:val="Table Normal1"/>
    <w:qFormat/>
    <w:uiPriority w:val="0"/>
  </w:style>
  <w:style w:type="table" w:customStyle="1" w:styleId="6">
    <w:name w:val="_Style 27"/>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2022-04-05T07:23:04Z</dcterms:created>
  <dc:creator>Alexandru.Andriesei</dc:creator>
  <cp:lastModifiedBy>Alexandru.Andriesei</cp:lastModifiedBy>
  <dcterms:modified xsi:type="dcterms:W3CDTF">2022-04-05T07:27:24Z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