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6B17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593BE7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655E7E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E6D492" w14:textId="3A9CD27D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Anexa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nr. </w:t>
      </w:r>
      <w:r w:rsidR="009C08FE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075EC37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F3A12C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FORMULAR DE VERIFICARE A CONFORMITĂȚII ADMINISTRATIVE</w:t>
      </w:r>
    </w:p>
    <w:p w14:paraId="1B7AC863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ȘI A ELIGIBILITĂȚII SOLICITANTULUI, PARTENERILOR ȘI PROIECTULUI</w:t>
      </w:r>
    </w:p>
    <w:p w14:paraId="506648AB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FEA5A1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Denumire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__________________________________________________________________________</w:t>
      </w:r>
    </w:p>
    <w:p w14:paraId="0A2505B5" w14:textId="35CBF015" w:rsidR="00E17753" w:rsidRPr="00417B55" w:rsidRDefault="006067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Beneficiar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________________________________________________________________________________</w:t>
      </w:r>
    </w:p>
    <w:p w14:paraId="495899BD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0ECF36" w14:textId="77777777" w:rsidR="00E17753" w:rsidRPr="00417B5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630" w:hanging="2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VERIFICARE A CONFORMITĂȚII ADMINISTRATIVE</w:t>
      </w:r>
    </w:p>
    <w:tbl>
      <w:tblPr>
        <w:tblStyle w:val="a"/>
        <w:tblW w:w="10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858"/>
        <w:gridCol w:w="450"/>
        <w:gridCol w:w="450"/>
        <w:gridCol w:w="450"/>
        <w:gridCol w:w="1350"/>
      </w:tblGrid>
      <w:tr w:rsidR="00E17753" w:rsidRPr="00417B55" w14:paraId="617EBAED" w14:textId="77777777">
        <w:trPr>
          <w:trHeight w:val="247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02581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crt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AC5D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Grila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verificare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  <w:p w14:paraId="38B05835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conformității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administrative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4BCB9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DA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8EC62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NU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4A03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NC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29D5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Clarificări</w:t>
            </w:r>
            <w:proofErr w:type="spellEnd"/>
          </w:p>
        </w:tc>
      </w:tr>
      <w:tr w:rsidR="00E17753" w:rsidRPr="00417B55" w14:paraId="430FE1A2" w14:textId="77777777">
        <w:trPr>
          <w:trHeight w:val="2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5FB2D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1C877" w14:textId="04D93743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Documentele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depuse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plic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sigilat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/pe </w:t>
            </w:r>
            <w:proofErr w:type="spellStart"/>
            <w:r w:rsidR="001A7A36">
              <w:rPr>
                <w:rFonts w:ascii="Times New Roman" w:eastAsia="Times New Roman" w:hAnsi="Times New Roman" w:cs="Times New Roman"/>
              </w:rPr>
              <w:t>portalul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Primăriei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Municipiului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Brașov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42BE8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69B5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F323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E6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7753" w:rsidRPr="00417B55" w14:paraId="18154129" w14:textId="77777777">
        <w:trPr>
          <w:trHeight w:val="4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FDEF7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7EC6" w14:textId="7777777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Documentele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depuse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termenul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stabilit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anunțul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participare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151FC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2B82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D079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9F48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7753" w:rsidRPr="00417B55" w14:paraId="27926168" w14:textId="77777777">
        <w:trPr>
          <w:trHeight w:val="4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779F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</w:t>
            </w:r>
            <w:r w:rsidRPr="00417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CB4E" w14:textId="597509C0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Cererea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finanţare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Anexa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1)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completată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integral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semnată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reprezentantul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legal 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solicitantului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– include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Anexele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1.1, 1.2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Anexa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Buget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2402F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3B8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0F9F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359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6B1C8CAA" w14:textId="77777777">
        <w:trPr>
          <w:trHeight w:val="4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FA92D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9E762" w14:textId="26C672B3" w:rsidR="00E17753" w:rsidRPr="00417B55" w:rsidRDefault="00000000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7B5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original (</w:t>
            </w:r>
            <w:proofErr w:type="spellStart"/>
            <w:r w:rsidRPr="00417B55">
              <w:rPr>
                <w:rFonts w:ascii="Times New Roman" w:hAnsi="Times New Roman" w:cs="Times New Roman"/>
              </w:rPr>
              <w:t>Anexa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</w:t>
            </w:r>
            <w:r w:rsidR="00606720">
              <w:rPr>
                <w:rFonts w:ascii="Times New Roman" w:hAnsi="Times New Roman" w:cs="Times New Roman"/>
              </w:rPr>
              <w:t>3</w:t>
            </w:r>
            <w:proofErr w:type="gramStart"/>
            <w:r w:rsidRPr="00417B55">
              <w:rPr>
                <w:rFonts w:ascii="Times New Roman" w:hAnsi="Times New Roman" w:cs="Times New Roman"/>
              </w:rPr>
              <w:t xml:space="preserve">),  </w:t>
            </w:r>
            <w:proofErr w:type="spellStart"/>
            <w:r w:rsidRPr="00417B55">
              <w:rPr>
                <w:rFonts w:ascii="Times New Roman" w:hAnsi="Times New Roman" w:cs="Times New Roman"/>
              </w:rPr>
              <w:t>semnată</w:t>
            </w:r>
            <w:proofErr w:type="spellEnd"/>
            <w:proofErr w:type="gramEnd"/>
            <w:r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417B5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71BE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696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828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8282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63C51112" w14:textId="77777777">
        <w:trPr>
          <w:trHeight w:val="4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D54FC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31DF" w14:textId="0245A7F4" w:rsidR="00E17753" w:rsidRPr="00417B5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417B55">
              <w:rPr>
                <w:rFonts w:ascii="Times New Roman" w:hAnsi="Times New Roman" w:cs="Times New Roman"/>
              </w:rPr>
              <w:t>Protocolul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17B55">
              <w:rPr>
                <w:rFonts w:ascii="Times New Roman" w:hAnsi="Times New Roman" w:cs="Times New Roman"/>
              </w:rPr>
              <w:t>convenția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hAnsi="Times New Roman" w:cs="Times New Roman"/>
              </w:rPr>
              <w:t>parteneriat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/de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colaborare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hAnsi="Times New Roman" w:cs="Times New Roman"/>
              </w:rPr>
              <w:t>dacă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hAnsi="Times New Roman" w:cs="Times New Roman"/>
              </w:rPr>
              <w:t>este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hAnsi="Times New Roman" w:cs="Times New Roman"/>
              </w:rPr>
              <w:t>cazul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, conform </w:t>
            </w:r>
            <w:proofErr w:type="spellStart"/>
            <w:r w:rsidRPr="00417B55">
              <w:rPr>
                <w:rFonts w:ascii="Times New Roman" w:hAnsi="Times New Roman" w:cs="Times New Roman"/>
              </w:rPr>
              <w:t>Anexa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nr. </w:t>
            </w:r>
            <w:r w:rsidR="00606720">
              <w:rPr>
                <w:rFonts w:ascii="Times New Roman" w:hAnsi="Times New Roman" w:cs="Times New Roman"/>
              </w:rPr>
              <w:t>4</w:t>
            </w:r>
            <w:r w:rsidRPr="00417B5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0830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6DA8E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272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7AB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10A0BBEF" w14:textId="77777777">
        <w:trPr>
          <w:trHeight w:val="4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DCE6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hAnsi="Times New Roman" w:cs="Times New Roman"/>
              </w:rPr>
              <w:t>C6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3129C" w14:textId="7A37EECE" w:rsidR="00E17753" w:rsidRPr="00417B5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417B5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hAnsi="Times New Roman" w:cs="Times New Roman"/>
              </w:rPr>
              <w:t>imparțialitate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7B55">
              <w:rPr>
                <w:rFonts w:ascii="Times New Roman" w:hAnsi="Times New Roman" w:cs="Times New Roman"/>
              </w:rPr>
              <w:t>Anexa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</w:t>
            </w:r>
            <w:r w:rsidR="00606720">
              <w:rPr>
                <w:rFonts w:ascii="Times New Roman" w:hAnsi="Times New Roman" w:cs="Times New Roman"/>
              </w:rPr>
              <w:t>5</w:t>
            </w:r>
            <w:proofErr w:type="gramStart"/>
            <w:r w:rsidRPr="00417B55">
              <w:rPr>
                <w:rFonts w:ascii="Times New Roman" w:hAnsi="Times New Roman" w:cs="Times New Roman"/>
              </w:rPr>
              <w:t xml:space="preserve">),  </w:t>
            </w:r>
            <w:proofErr w:type="spellStart"/>
            <w:r w:rsidRPr="00417B55">
              <w:rPr>
                <w:rFonts w:ascii="Times New Roman" w:hAnsi="Times New Roman" w:cs="Times New Roman"/>
              </w:rPr>
              <w:t>în</w:t>
            </w:r>
            <w:proofErr w:type="spellEnd"/>
            <w:proofErr w:type="gramEnd"/>
            <w:r w:rsidRPr="00417B55">
              <w:rPr>
                <w:rFonts w:ascii="Times New Roman" w:hAnsi="Times New Roman" w:cs="Times New Roman"/>
              </w:rPr>
              <w:t xml:space="preserve"> original, </w:t>
            </w:r>
            <w:proofErr w:type="spellStart"/>
            <w:r w:rsidRPr="00417B55">
              <w:rPr>
                <w:rFonts w:ascii="Times New Roman" w:hAnsi="Times New Roman" w:cs="Times New Roman"/>
              </w:rPr>
              <w:t>semnată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417B5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417B55">
              <w:rPr>
                <w:rFonts w:ascii="Times New Roman" w:hAnsi="Times New Roman" w:cs="Times New Roman"/>
              </w:rPr>
              <w:t>solicitantului</w:t>
            </w:r>
            <w:proofErr w:type="spellEnd"/>
            <w:r w:rsidR="00606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C73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229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72C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B176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52DE8E37" w14:textId="77777777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7EEB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</w:t>
            </w:r>
            <w:r w:rsidRPr="00417B55">
              <w:rPr>
                <w:rFonts w:ascii="Times New Roman" w:hAnsi="Times New Roman" w:cs="Times New Roman"/>
              </w:rPr>
              <w:t>7</w:t>
            </w:r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FAE99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Certificatul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atestare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fiscală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plata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obligațiilor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bugetul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stat,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original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formatului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validat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Administrația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finanțelor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publice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termen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valabilitate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conform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. (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certificat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ANAF)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A0A64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3F1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7DD7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BF2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40318D28" w14:textId="77777777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C2E0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</w:t>
            </w:r>
            <w:r w:rsidRPr="00417B55">
              <w:rPr>
                <w:rFonts w:ascii="Times New Roman" w:hAnsi="Times New Roman" w:cs="Times New Roman"/>
              </w:rPr>
              <w:t>8</w:t>
            </w:r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ADE9E" w14:textId="4448EAF8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Certificatul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atestare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fiscală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juridice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impozitele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taxele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venituri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datorate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bugetului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</w:t>
            </w:r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Municipiului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Brașov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( se</w:t>
            </w:r>
            <w:proofErr w:type="gram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obține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către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Autoritatea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06720">
              <w:rPr>
                <w:rFonts w:ascii="Times New Roman" w:eastAsia="Times New Roman" w:hAnsi="Times New Roman" w:cs="Times New Roman"/>
                <w:color w:val="000000"/>
              </w:rPr>
              <w:t>Finanțatoare</w:t>
            </w:r>
            <w:proofErr w:type="spellEnd"/>
            <w:r w:rsidR="0060672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Certificatul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atestare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fiscală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juridice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impozitele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taxele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locale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venituri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datorate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bugetului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 din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localitatea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unde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își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are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sediul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social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  <w:color w:val="000000"/>
              </w:rPr>
              <w:t>juridică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original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conform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; (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certificat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finanțe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locale)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4C09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B9AD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1BD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8922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5B451BA8" w14:textId="77777777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0D06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</w:t>
            </w:r>
            <w:r w:rsidRPr="00417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D82AF" w14:textId="5063F62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Statut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Act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constitutiv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înregistrat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instanță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atestă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structură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public/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privat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constituită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persoană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juridică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scop patrimonial</w:t>
            </w:r>
            <w:r w:rsidR="002310B2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="002310B2">
              <w:rPr>
                <w:rFonts w:ascii="Times New Roman" w:eastAsia="Times New Roman" w:hAnsi="Times New Roman" w:cs="Times New Roman"/>
              </w:rPr>
              <w:t>activitate</w:t>
            </w:r>
            <w:proofErr w:type="spellEnd"/>
            <w:r w:rsidR="002310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310B2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="002310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310B2">
              <w:rPr>
                <w:rFonts w:ascii="Times New Roman" w:eastAsia="Times New Roman" w:hAnsi="Times New Roman" w:cs="Times New Roman"/>
              </w:rPr>
              <w:t>domeniile</w:t>
            </w:r>
            <w:proofErr w:type="spellEnd"/>
            <w:r w:rsidR="002310B2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2310B2">
              <w:rPr>
                <w:rFonts w:ascii="Times New Roman" w:eastAsia="Times New Roman" w:hAnsi="Times New Roman" w:cs="Times New Roman"/>
              </w:rPr>
              <w:t>intervenție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-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copii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7B55">
              <w:rPr>
                <w:rFonts w:ascii="Times New Roman" w:eastAsia="Times New Roman" w:hAnsi="Times New Roman" w:cs="Times New Roman"/>
              </w:rPr>
              <w:t>certificate ”conform</w:t>
            </w:r>
            <w:proofErr w:type="gram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” (Se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prezenta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constitutiv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doar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dacă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cazul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B55CD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9EC6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CACE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EF24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64309B17" w14:textId="77777777" w:rsidTr="002E2DD6">
        <w:trPr>
          <w:trHeight w:val="42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E53C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C1</w:t>
            </w:r>
            <w:r w:rsidRPr="00417B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E32B" w14:textId="7777777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Încheiere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judecătorească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rămasă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definitivă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care sunt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aprobate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ultimele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modificări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actelor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constitutive, -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7B55">
              <w:rPr>
                <w:rFonts w:ascii="Times New Roman" w:eastAsia="Times New Roman" w:hAnsi="Times New Roman" w:cs="Times New Roman"/>
              </w:rPr>
              <w:t>certificată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”conform</w:t>
            </w:r>
            <w:proofErr w:type="gram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E78E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DAAD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D92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200F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706FFE76" w14:textId="77777777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AB1AC" w14:textId="392F9F99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</w:t>
            </w:r>
            <w:r w:rsidR="00417B55" w:rsidRPr="00417B55">
              <w:rPr>
                <w:rFonts w:ascii="Times New Roman" w:eastAsia="Times New Roman" w:hAnsi="Times New Roman" w:cs="Times New Roman"/>
              </w:rPr>
              <w:t>1</w:t>
            </w:r>
            <w:r w:rsidRPr="00417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F80B" w14:textId="7777777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Certificatul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înscriere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Registrul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Asociațiilor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Fundațiilor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însoțit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Extrasul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din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Registrul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Special – nu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vechi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30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zile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7B55">
              <w:rPr>
                <w:rFonts w:ascii="Times New Roman" w:eastAsia="Times New Roman" w:hAnsi="Times New Roman" w:cs="Times New Roman"/>
              </w:rPr>
              <w:t>certificată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”conform</w:t>
            </w:r>
            <w:proofErr w:type="gram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6854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506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833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C23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2D4B4F94" w14:textId="77777777" w:rsidTr="002E2DD6">
        <w:trPr>
          <w:trHeight w:val="4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606E0" w14:textId="739023E2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C1</w:t>
            </w:r>
            <w:r w:rsidR="00417B55" w:rsidRPr="00417B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6F1A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Certificat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Înregistrare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fiscală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copie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7B55">
              <w:rPr>
                <w:rFonts w:ascii="Times New Roman" w:eastAsia="Times New Roman" w:hAnsi="Times New Roman" w:cs="Times New Roman"/>
              </w:rPr>
              <w:t>certificată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”conform</w:t>
            </w:r>
            <w:proofErr w:type="gram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originalul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2D5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0FD8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1FB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B83A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2DD6" w:rsidRPr="00417B55" w14:paraId="5908620D" w14:textId="77777777">
        <w:trPr>
          <w:trHeight w:val="5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E80F" w14:textId="392179F7" w:rsidR="002E2DD6" w:rsidRPr="00417B55" w:rsidRDefault="002E2D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409E" w14:textId="1237D289" w:rsidR="002E2DD6" w:rsidRPr="002E2DD6" w:rsidRDefault="002E2DD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2DD6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2E2D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respectat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în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ultimul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contractele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finanțare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nerambursabilă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semnate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Municipiul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Brașov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excepția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situațiilor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în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care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acestea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încetat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acordul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părților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fost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generate de o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cauză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neimputabilă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acestora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pandemii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cataclisme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2DD6">
              <w:rPr>
                <w:rFonts w:ascii="Times New Roman" w:hAnsi="Times New Roman" w:cs="Times New Roman"/>
                <w:color w:val="000000"/>
              </w:rPr>
              <w:t>etc</w:t>
            </w:r>
            <w:proofErr w:type="spellEnd"/>
            <w:r w:rsidRPr="002E2DD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DDF2" w14:textId="77777777" w:rsidR="002E2DD6" w:rsidRPr="00417B55" w:rsidRDefault="002E2D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50B9" w14:textId="77777777" w:rsidR="002E2DD6" w:rsidRPr="00417B55" w:rsidRDefault="002E2D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B1D0" w14:textId="77777777" w:rsidR="002E2DD6" w:rsidRPr="00417B55" w:rsidRDefault="002E2D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328E" w14:textId="77777777" w:rsidR="002E2DD6" w:rsidRPr="00417B55" w:rsidRDefault="002E2D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D16170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declarat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conform</w:t>
      </w:r>
      <w:r w:rsidRPr="00417B5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593E225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"/>
        <w:gridCol w:w="567"/>
        <w:gridCol w:w="510"/>
        <w:gridCol w:w="510"/>
      </w:tblGrid>
      <w:tr w:rsidR="00E17753" w:rsidRPr="00417B55" w14:paraId="5C7BA934" w14:textId="77777777">
        <w:tc>
          <w:tcPr>
            <w:tcW w:w="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AB30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31E" w14:textId="7777777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Da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E83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F8B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7EE9" w14:textId="77777777" w:rsidR="00E17753" w:rsidRPr="00417B55" w:rsidRDefault="00000000">
            <w:pPr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Nu</w:t>
            </w:r>
          </w:p>
        </w:tc>
      </w:tr>
    </w:tbl>
    <w:p w14:paraId="537AAD0C" w14:textId="77777777" w:rsidR="00E17753" w:rsidRPr="00417B55" w:rsidRDefault="00E17753" w:rsidP="002E2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4D7F6D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1E38D0" w14:textId="77777777" w:rsidR="00E17753" w:rsidRPr="00417B55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VERIFICAREA ELIGIBILITĂȚII SOLICITANTULUI, PARTENERULUI ȘI A PROIECTULUI</w:t>
      </w:r>
    </w:p>
    <w:p w14:paraId="3E765097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99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6300"/>
        <w:gridCol w:w="595"/>
        <w:gridCol w:w="630"/>
        <w:gridCol w:w="1475"/>
      </w:tblGrid>
      <w:tr w:rsidR="00E17753" w:rsidRPr="00417B55" w14:paraId="410BEAC6" w14:textId="77777777">
        <w:trPr>
          <w:trHeight w:val="596"/>
          <w:tblHeader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E8034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crt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93271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Grila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verificare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  <w:p w14:paraId="2360F3F1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eligibilității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proiectului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solicitantului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partenerului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dacă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cazul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B24B0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B605B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NU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7CE4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801E02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b/>
              </w:rPr>
              <w:t>Observații</w:t>
            </w:r>
            <w:proofErr w:type="spellEnd"/>
          </w:p>
        </w:tc>
      </w:tr>
      <w:tr w:rsidR="00E17753" w:rsidRPr="00417B55" w14:paraId="7611D604" w14:textId="77777777">
        <w:trPr>
          <w:trHeight w:val="41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A82AE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C1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3EB08" w14:textId="77777777" w:rsidR="00E17753" w:rsidRPr="00417B5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ELIGIBILITATEA PROIECTULUI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76FC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881F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00A7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7753" w:rsidRPr="00417B55" w14:paraId="0FFDE1C9" w14:textId="77777777">
        <w:trPr>
          <w:trHeight w:val="41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3F02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E466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înscrie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scopul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obiectivele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Ghidului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finanțare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117E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7F319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0EAD" w14:textId="77777777" w:rsidR="00E17753" w:rsidRPr="00417B55" w:rsidRDefault="00E177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7753" w:rsidRPr="00417B55" w14:paraId="17E27FD0" w14:textId="77777777">
        <w:trPr>
          <w:trHeight w:val="42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94D1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8E3A1" w14:textId="071CC0AF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contribuție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168C3">
              <w:rPr>
                <w:rFonts w:ascii="Times New Roman" w:eastAsia="Times New Roman" w:hAnsi="Times New Roman" w:cs="Times New Roman"/>
              </w:rPr>
              <w:t>nerambursabilă</w:t>
            </w:r>
            <w:proofErr w:type="spellEnd"/>
            <w:r w:rsidR="00E168C3"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Municipiul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Brașov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buget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mare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decât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bugetul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maxim 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precizat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anunțul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participare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58D2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7F7B" w14:textId="77777777" w:rsidR="00E17753" w:rsidRPr="00417B55" w:rsidRDefault="00E17753">
            <w:pPr>
              <w:ind w:firstLine="3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49A9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52296EE3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E077F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285E4" w14:textId="18872410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asigură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7A36">
              <w:rPr>
                <w:rFonts w:ascii="Times New Roman" w:eastAsia="Times New Roman" w:hAnsi="Times New Roman" w:cs="Times New Roman"/>
              </w:rPr>
              <w:t>cofinanțarea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minimum 10% din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valoarea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168C3">
              <w:rPr>
                <w:rFonts w:ascii="Times New Roman" w:eastAsia="Times New Roman" w:hAnsi="Times New Roman" w:cs="Times New Roman"/>
              </w:rPr>
              <w:t>totală</w:t>
            </w:r>
            <w:proofErr w:type="spellEnd"/>
            <w:r w:rsidR="00E168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7497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C7E0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A2F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71467FAD" w14:textId="77777777">
        <w:trPr>
          <w:trHeight w:val="99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EB29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3E91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încadrează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perioada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derulare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stabilită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concurs,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perioada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precizată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anunțul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participare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publicat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Monitorul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Oficial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României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pe site-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Primăriei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Municipiului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Brașov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FCC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DEF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9BED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45C610E9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12F9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AF7F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respectă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prevederile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legale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vigoare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privire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normele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cheltuieli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A18F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BFB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D3D9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0149ED37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395C2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SC1.6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0886" w14:textId="04E4AA65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adresează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exclusivitate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membrilor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partenerului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partenerilor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</w:rPr>
              <w:t>colaboratorilor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4B66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557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B934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0F30684B" w14:textId="77777777">
        <w:trPr>
          <w:trHeight w:val="299"/>
          <w:jc w:val="center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0AFC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7B55">
              <w:rPr>
                <w:rFonts w:ascii="Times New Roman" w:eastAsia="Times New Roman" w:hAnsi="Times New Roman" w:cs="Times New Roman"/>
                <w:b/>
              </w:rPr>
              <w:t>C2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81B45" w14:textId="77777777" w:rsidR="00E17753" w:rsidRPr="00417B55" w:rsidRDefault="00E1775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15B147A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17B55">
              <w:rPr>
                <w:rFonts w:ascii="Times New Roman" w:eastAsia="Times New Roman" w:hAnsi="Times New Roman" w:cs="Times New Roman"/>
                <w:b/>
              </w:rPr>
              <w:t>ELIGIBILITATEA  SOLICITANTULUI</w:t>
            </w:r>
            <w:proofErr w:type="gramEnd"/>
            <w:r w:rsidRPr="00417B55">
              <w:rPr>
                <w:rFonts w:ascii="Times New Roman" w:eastAsia="Times New Roman" w:hAnsi="Times New Roman" w:cs="Times New Roman"/>
                <w:b/>
              </w:rPr>
              <w:t xml:space="preserve"> ȘI PARTENERULUI</w:t>
            </w:r>
          </w:p>
          <w:p w14:paraId="3E2D457E" w14:textId="77777777" w:rsidR="00E17753" w:rsidRPr="00417B55" w:rsidRDefault="00E177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FBCF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0AFBC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AA00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291F85FA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DB1C1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90EE8" w14:textId="657D4D63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persoană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juridică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scop patrimonial care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desfășoară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activități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nonprofit care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funcţionează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condiţiile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Ordonanței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Guvernului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nr. 26/2000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privire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asociații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fundații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modificările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completările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ulterioare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417B55"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Fundațiile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pentru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tineret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nivel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județean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și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municipiului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București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precum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și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Fundația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Națională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pentru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Tineret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înființată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în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baza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Legii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146/2002 (cu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modificările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și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completările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ulterioare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sau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Societatea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Națională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de Cruce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Roșie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România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înființată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în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baza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Legii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139/1995 (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modificată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și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completată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Legea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524/2004)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și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structurilor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sale cu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personalitate</w:t>
            </w:r>
            <w:proofErr w:type="spellEnd"/>
            <w:r w:rsidR="00417B55" w:rsidRPr="00417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B55" w:rsidRPr="00417B55">
              <w:rPr>
                <w:rFonts w:ascii="Times New Roman" w:hAnsi="Times New Roman" w:cs="Times New Roman"/>
              </w:rPr>
              <w:t>juridică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B34C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3C5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4F6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3214E696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93F3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99BC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respectat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ultimul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an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contractele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finanțare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nerambursabilă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încheiate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Municipiul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Brașov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excepția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situațiilor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acestea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încetat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acordul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părților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generate de o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cauză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neimputabilă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acestora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pandemii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cataclisme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8D94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916CC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42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50E54AB7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C57B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FA58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face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obiectul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proceduri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dizolvare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lichidare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află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deja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stare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dizolvare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lichidare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conformitate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prevederile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legale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vigoare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C2B5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713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640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6AC7D144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03716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DE9FB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-a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îndeplinit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obligațiile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referitoare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plata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contribuțiilor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asigurările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plata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taxelor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impozitelor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bugetul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de stat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local,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conformitate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  <w:color w:val="000000"/>
              </w:rPr>
              <w:t>legale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3BB9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CD4C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B31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3F684AB0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41717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68AB9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1t3h5sf" w:colFirst="0" w:colLast="0"/>
            <w:bookmarkEnd w:id="1"/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făcut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obiectul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hotărâri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definitive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irevocabile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fraudă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corupție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implicarea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într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-o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organizație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criminală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orice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altă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activitate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ilegală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detrimentul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intereselor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financiare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existe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dovezi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s-au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luat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ultimii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ani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măsuri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corecție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acest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sens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ABFC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8EAE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8287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43FD3389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60D05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2C71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declarat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 fi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într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-o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situație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gravă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nerespectare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7B55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obligațiilor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contractuale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procedurile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achiziție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procedurile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acordare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finanțărilor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BCAA8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868A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518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7C9D059B" w14:textId="77777777">
        <w:trPr>
          <w:trHeight w:val="5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EFA24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lastRenderedPageBreak/>
              <w:t>SC2.7.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F1C15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subiect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conflict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interese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organizații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persoane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direct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indirect implicate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procedura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acordare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finanțării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nerambursabile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525C7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F617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D666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0596F492" w14:textId="77777777">
        <w:trPr>
          <w:trHeight w:val="83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D0392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SC2.8.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C00B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Solicitantul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furnizează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informații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false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documentele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prezentate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furnizează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informațiile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solicitate de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finanțator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condițiile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termenul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553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018F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CBD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7753" w:rsidRPr="00417B55" w14:paraId="51F80771" w14:textId="77777777">
        <w:trPr>
          <w:trHeight w:val="83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14A93" w14:textId="77777777" w:rsidR="00E17753" w:rsidRPr="00417B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SC 2.9.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B274" w14:textId="77777777" w:rsidR="00E17753" w:rsidRPr="00417B5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Partenerul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nu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asigură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servicii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lucrări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produse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prevăzute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bugetul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solicitat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Municipiul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7B55">
              <w:rPr>
                <w:rFonts w:ascii="Times New Roman" w:eastAsia="Times New Roman" w:hAnsi="Times New Roman" w:cs="Times New Roman"/>
              </w:rPr>
              <w:t>Brașov</w:t>
            </w:r>
            <w:proofErr w:type="spellEnd"/>
            <w:r w:rsidRPr="00417B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9102B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F731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0E23" w14:textId="77777777" w:rsidR="00E17753" w:rsidRPr="00417B55" w:rsidRDefault="00E177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4252C5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Notă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: SC 2.9 se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verifică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doar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cazul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proiectelor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parteneriat</w:t>
      </w:r>
      <w:proofErr w:type="spellEnd"/>
    </w:p>
    <w:p w14:paraId="126E10E8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sunt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declarați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eligibili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tbl>
      <w:tblPr>
        <w:tblStyle w:val="a2"/>
        <w:tblW w:w="25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"/>
        <w:gridCol w:w="567"/>
        <w:gridCol w:w="510"/>
        <w:gridCol w:w="510"/>
      </w:tblGrid>
      <w:tr w:rsidR="00E17753" w:rsidRPr="00417B55" w14:paraId="25C020E5" w14:textId="77777777">
        <w:tc>
          <w:tcPr>
            <w:tcW w:w="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56BF" w14:textId="77777777" w:rsidR="00E17753" w:rsidRPr="00417B55" w:rsidRDefault="00E177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9549" w14:textId="77777777" w:rsidR="00E17753" w:rsidRPr="00417B55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Da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D855" w14:textId="77777777" w:rsidR="00E17753" w:rsidRPr="00417B55" w:rsidRDefault="00E177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DAF2" w14:textId="77777777" w:rsidR="00E17753" w:rsidRPr="00417B55" w:rsidRDefault="00E177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3E1" w14:textId="77777777" w:rsidR="00E17753" w:rsidRPr="00417B55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17B55">
              <w:rPr>
                <w:rFonts w:ascii="Times New Roman" w:eastAsia="Times New Roman" w:hAnsi="Times New Roman" w:cs="Times New Roman"/>
              </w:rPr>
              <w:t>Nu</w:t>
            </w:r>
          </w:p>
        </w:tc>
      </w:tr>
    </w:tbl>
    <w:p w14:paraId="56BAC915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106F1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Nume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prenume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evaluator, ____________________</w:t>
      </w:r>
      <w:r w:rsidRPr="00417B5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341CFF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Semnătură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evaluator, ________________________           </w:t>
      </w:r>
    </w:p>
    <w:p w14:paraId="58494D7C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17B55">
        <w:rPr>
          <w:rFonts w:ascii="Times New Roman" w:eastAsia="Times New Roman" w:hAnsi="Times New Roman" w:cs="Times New Roman"/>
          <w:sz w:val="20"/>
          <w:szCs w:val="20"/>
        </w:rPr>
        <w:t>Data:_</w:t>
      </w:r>
      <w:proofErr w:type="gramEnd"/>
      <w:r w:rsidRPr="00417B55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14:paraId="0F2E68A3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70FFD9" w14:textId="77777777" w:rsidR="00E17753" w:rsidRPr="00417B5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B55">
        <w:rPr>
          <w:rFonts w:ascii="Times New Roman" w:eastAsia="Times New Roman" w:hAnsi="Times New Roman" w:cs="Times New Roman"/>
          <w:sz w:val="20"/>
          <w:szCs w:val="20"/>
        </w:rPr>
        <w:t>NOTĂ</w:t>
      </w:r>
    </w:p>
    <w:p w14:paraId="4413D803" w14:textId="77777777" w:rsidR="00E17753" w:rsidRPr="00417B5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sunt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declarați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conformi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dacă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toate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criteriile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aplicabile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fost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bifat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sau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s-a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specificat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Nu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cazul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Dacă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una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dintre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rubrici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se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bifează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NU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declarat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neconform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cazul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care </w:t>
      </w:r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se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bifează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rubrica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Clarificări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vor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clarificări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vizând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conformitatea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administrativă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iar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procedura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relua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prin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completarea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unui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alt formular.</w:t>
      </w:r>
    </w:p>
    <w:p w14:paraId="4852BD10" w14:textId="77777777" w:rsidR="00E17753" w:rsidRPr="00417B5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4d34og8" w:colFirst="0" w:colLast="0"/>
      <w:bookmarkEnd w:id="2"/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sunt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>eligibili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dacă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toate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subcriteriile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aplicabile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fost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bifat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sau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s-a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specificat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că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Nu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cazul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Grila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verificare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17B55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eligibilităţii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trebuie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încheie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cu o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concluzie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clară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privire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eligibilitatea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Numai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aceste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condiții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fi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declarat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eligibil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caz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contrar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neeligibil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2BF4B7" w14:textId="56A16683" w:rsidR="00E17753" w:rsidRPr="00417B5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Grila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verificare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conformității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administrative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Grila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verificare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17B55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eligibilității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proiectului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solicitantului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partenerului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dacă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cazul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vor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fi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completate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Secretariatul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Tehnic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B5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E56F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comisiei</w:t>
      </w:r>
      <w:proofErr w:type="spellEnd"/>
      <w:r w:rsidRPr="00417B55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17B55">
        <w:rPr>
          <w:rFonts w:ascii="Times New Roman" w:eastAsia="Times New Roman" w:hAnsi="Times New Roman" w:cs="Times New Roman"/>
          <w:sz w:val="20"/>
          <w:szCs w:val="20"/>
        </w:rPr>
        <w:t>evaluare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aprobate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prin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Proces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verbal de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către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Comisia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Evaluare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majoritate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56F2">
        <w:rPr>
          <w:rFonts w:ascii="Times New Roman" w:eastAsia="Times New Roman" w:hAnsi="Times New Roman" w:cs="Times New Roman"/>
          <w:sz w:val="20"/>
          <w:szCs w:val="20"/>
        </w:rPr>
        <w:t>simplă</w:t>
      </w:r>
      <w:proofErr w:type="spellEnd"/>
      <w:r w:rsidR="00DE56F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657EB85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F31B64" w14:textId="77777777" w:rsidR="00E17753" w:rsidRPr="00417B55" w:rsidRDefault="00E177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6EAF83" w14:textId="77777777" w:rsidR="00E17753" w:rsidRPr="00417B55" w:rsidRDefault="00E1775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17753" w:rsidRPr="00417B55">
      <w:footerReference w:type="default" r:id="rId8"/>
      <w:pgSz w:w="11909" w:h="16834"/>
      <w:pgMar w:top="907" w:right="922" w:bottom="1080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11CB" w14:textId="77777777" w:rsidR="00917729" w:rsidRDefault="00917729">
      <w:pPr>
        <w:spacing w:after="0" w:line="240" w:lineRule="auto"/>
      </w:pPr>
      <w:r>
        <w:separator/>
      </w:r>
    </w:p>
  </w:endnote>
  <w:endnote w:type="continuationSeparator" w:id="0">
    <w:p w14:paraId="24016961" w14:textId="77777777" w:rsidR="00917729" w:rsidRDefault="0091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C48" w14:textId="77777777" w:rsidR="00E17753" w:rsidRDefault="00E1775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11A2" w14:textId="77777777" w:rsidR="00917729" w:rsidRDefault="00917729">
      <w:pPr>
        <w:spacing w:after="0" w:line="240" w:lineRule="auto"/>
      </w:pPr>
      <w:r>
        <w:separator/>
      </w:r>
    </w:p>
  </w:footnote>
  <w:footnote w:type="continuationSeparator" w:id="0">
    <w:p w14:paraId="4F004AC4" w14:textId="77777777" w:rsidR="00917729" w:rsidRDefault="0091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7CBD"/>
    <w:multiLevelType w:val="multilevel"/>
    <w:tmpl w:val="40686B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5FA9"/>
    <w:multiLevelType w:val="multilevel"/>
    <w:tmpl w:val="26F60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33386">
    <w:abstractNumId w:val="1"/>
  </w:num>
  <w:num w:numId="2" w16cid:durableId="29059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53"/>
    <w:rsid w:val="0014170F"/>
    <w:rsid w:val="001A7A36"/>
    <w:rsid w:val="001C72A1"/>
    <w:rsid w:val="002310B2"/>
    <w:rsid w:val="002E2DD6"/>
    <w:rsid w:val="00417B55"/>
    <w:rsid w:val="004317C3"/>
    <w:rsid w:val="004F0904"/>
    <w:rsid w:val="00606720"/>
    <w:rsid w:val="006B2B95"/>
    <w:rsid w:val="007B1C9C"/>
    <w:rsid w:val="00901A7D"/>
    <w:rsid w:val="00917729"/>
    <w:rsid w:val="009C08FE"/>
    <w:rsid w:val="00A430B3"/>
    <w:rsid w:val="00B41848"/>
    <w:rsid w:val="00DE56F2"/>
    <w:rsid w:val="00E168C3"/>
    <w:rsid w:val="00E17753"/>
    <w:rsid w:val="00E3375F"/>
    <w:rsid w:val="00EB5D38"/>
    <w:rsid w:val="00F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9B66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pPr>
      <w:spacing w:after="0" w:line="240" w:lineRule="auto"/>
    </w:pPr>
    <w:rPr>
      <w:rFonts w:ascii="Helvetica" w:eastAsia="Helvetica" w:hAnsi="Helvetica" w:cs="Helvetica"/>
      <w:color w:val="000000"/>
    </w:rPr>
  </w:style>
  <w:style w:type="paragraph" w:customStyle="1" w:styleId="Heading">
    <w:name w:val="Heading"/>
    <w:next w:val="BodyA"/>
    <w:qFormat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30">
    <w:name w:val="_Style 130"/>
    <w:basedOn w:val="TableNormal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31">
    <w:name w:val="_Style 131"/>
    <w:basedOn w:val="TableNormal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32">
    <w:name w:val="_Style 132"/>
    <w:basedOn w:val="TableNormal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33">
    <w:name w:val="_Style 133"/>
    <w:basedOn w:val="TableNormal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SdVB7wv794JoSYawZNXIQm/iWA==">AMUW2mVGF4JKYv5ywAdGhF3Yrw1WNaqeypOsVl9v3rq5MwjUADiMC97XgWSUWF/pVQf8GrILBXVmiuM0+ygncI3etNdtIUnpNw0tl06RXt52d7lN8KhyV1Aime5uJmsgVBzVCDApLvvVrIaWbXs9WOgUmNFYWLxdfe4vxcrIjpHGHoxttBEBG38=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2</cp:revision>
  <cp:lastPrinted>2024-01-18T12:55:00Z</cp:lastPrinted>
  <dcterms:created xsi:type="dcterms:W3CDTF">2024-02-15T12:30:00Z</dcterms:created>
  <dcterms:modified xsi:type="dcterms:W3CDTF">2024-02-15T12:30:00Z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